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FCB1D">
      <w:pPr>
        <w:jc w:val="center"/>
        <w:rPr>
          <w:rFonts w:hint="eastAsia"/>
          <w:sz w:val="30"/>
          <w:szCs w:val="30"/>
          <w:highlight w:val="none"/>
          <w:lang w:val="en-US" w:eastAsia="zh-CN"/>
        </w:rPr>
      </w:pPr>
      <w:r>
        <w:rPr>
          <w:rFonts w:hint="eastAsia"/>
          <w:sz w:val="30"/>
          <w:szCs w:val="30"/>
          <w:highlight w:val="none"/>
        </w:rPr>
        <w:t>青岛市公共资源交易信息平台招标投标数智化项目</w:t>
      </w:r>
      <w:r>
        <w:rPr>
          <w:rFonts w:hint="eastAsia"/>
          <w:sz w:val="30"/>
          <w:szCs w:val="30"/>
          <w:highlight w:val="none"/>
          <w:lang w:val="en-US" w:eastAsia="zh-CN"/>
        </w:rPr>
        <w:t>更正公告</w:t>
      </w:r>
    </w:p>
    <w:p w14:paraId="21D2CFCB">
      <w:pPr>
        <w:jc w:val="both"/>
        <w:rPr>
          <w:rFonts w:hint="eastAsia"/>
          <w:sz w:val="28"/>
          <w:szCs w:val="28"/>
          <w:highlight w:val="none"/>
          <w:lang w:val="en-US" w:eastAsia="zh-CN"/>
        </w:rPr>
      </w:pPr>
      <w:r>
        <w:rPr>
          <w:rFonts w:hint="eastAsia"/>
          <w:sz w:val="28"/>
          <w:szCs w:val="28"/>
          <w:highlight w:val="none"/>
          <w:lang w:val="en-US" w:eastAsia="zh-CN"/>
        </w:rPr>
        <w:t>一、项目基本情况：</w:t>
      </w:r>
    </w:p>
    <w:p w14:paraId="1F30A5C6">
      <w:pPr>
        <w:jc w:val="both"/>
        <w:rPr>
          <w:rFonts w:hint="eastAsia"/>
          <w:sz w:val="28"/>
          <w:szCs w:val="28"/>
          <w:highlight w:val="none"/>
          <w:lang w:val="en-US" w:eastAsia="zh-CN"/>
        </w:rPr>
      </w:pPr>
      <w:r>
        <w:rPr>
          <w:rFonts w:hint="eastAsia"/>
          <w:sz w:val="28"/>
          <w:szCs w:val="28"/>
          <w:highlight w:val="none"/>
          <w:lang w:val="en-US" w:eastAsia="zh-CN"/>
        </w:rPr>
        <w:t>1.原公告的采购项目编号:SDGP370200000202602001255</w:t>
      </w:r>
    </w:p>
    <w:p w14:paraId="68BB970F">
      <w:pPr>
        <w:jc w:val="both"/>
        <w:rPr>
          <w:rFonts w:hint="default"/>
          <w:sz w:val="28"/>
          <w:szCs w:val="28"/>
          <w:highlight w:val="none"/>
          <w:lang w:val="en-US" w:eastAsia="zh-CN"/>
        </w:rPr>
      </w:pPr>
      <w:r>
        <w:rPr>
          <w:rFonts w:hint="eastAsia"/>
          <w:sz w:val="28"/>
          <w:szCs w:val="28"/>
          <w:highlight w:val="none"/>
          <w:lang w:val="en-US" w:eastAsia="zh-CN"/>
        </w:rPr>
        <w:t>2.原公告的采购项目名称:青岛市公共资源交易信息平台招标投标数智化项目</w:t>
      </w:r>
    </w:p>
    <w:p w14:paraId="1FC3CB58">
      <w:pPr>
        <w:jc w:val="both"/>
        <w:rPr>
          <w:rFonts w:hint="eastAsia"/>
          <w:sz w:val="28"/>
          <w:szCs w:val="28"/>
          <w:highlight w:val="none"/>
          <w:lang w:val="en-US" w:eastAsia="zh-CN"/>
        </w:rPr>
      </w:pPr>
      <w:r>
        <w:rPr>
          <w:rFonts w:hint="eastAsia"/>
          <w:sz w:val="28"/>
          <w:szCs w:val="28"/>
          <w:highlight w:val="none"/>
          <w:lang w:val="en-US" w:eastAsia="zh-CN"/>
        </w:rPr>
        <w:t>3.首次公告日期:</w:t>
      </w:r>
      <w:r>
        <w:rPr>
          <w:rFonts w:hint="eastAsia"/>
          <w:sz w:val="28"/>
          <w:szCs w:val="28"/>
          <w:highlight w:val="none"/>
          <w:lang w:val="en-US" w:eastAsia="zh-CN"/>
        </w:rPr>
        <w:tab/>
      </w:r>
      <w:r>
        <w:rPr>
          <w:rFonts w:hint="eastAsia"/>
          <w:sz w:val="28"/>
          <w:szCs w:val="28"/>
          <w:highlight w:val="none"/>
          <w:lang w:val="en-US" w:eastAsia="zh-CN"/>
        </w:rPr>
        <w:t>2026年09月30日</w:t>
      </w:r>
      <w:bookmarkStart w:id="0" w:name="_GoBack"/>
      <w:bookmarkEnd w:id="0"/>
    </w:p>
    <w:p w14:paraId="40758B34">
      <w:pPr>
        <w:jc w:val="both"/>
        <w:rPr>
          <w:rFonts w:hint="eastAsia"/>
          <w:sz w:val="28"/>
          <w:szCs w:val="28"/>
          <w:highlight w:val="none"/>
          <w:lang w:val="en-US" w:eastAsia="zh-CN"/>
        </w:rPr>
      </w:pPr>
      <w:r>
        <w:rPr>
          <w:rFonts w:hint="eastAsia"/>
          <w:sz w:val="28"/>
          <w:szCs w:val="28"/>
          <w:highlight w:val="none"/>
          <w:lang w:val="en-US" w:eastAsia="zh-CN"/>
        </w:rPr>
        <w:t>二、更正信息：</w:t>
      </w:r>
    </w:p>
    <w:p w14:paraId="7B2336C0">
      <w:pPr>
        <w:jc w:val="both"/>
        <w:rPr>
          <w:rFonts w:hint="eastAsia"/>
          <w:sz w:val="28"/>
          <w:szCs w:val="28"/>
          <w:highlight w:val="none"/>
          <w:lang w:val="en-US" w:eastAsia="zh-CN"/>
        </w:rPr>
      </w:pPr>
      <w:r>
        <w:rPr>
          <w:rFonts w:hint="eastAsia"/>
          <w:sz w:val="28"/>
          <w:szCs w:val="28"/>
          <w:highlight w:val="none"/>
          <w:lang w:val="en-US" w:eastAsia="zh-CN"/>
        </w:rPr>
        <w:t>1.更正事项：采购文件</w:t>
      </w:r>
    </w:p>
    <w:p w14:paraId="095BDAEC">
      <w:pPr>
        <w:jc w:val="both"/>
        <w:rPr>
          <w:rFonts w:hint="eastAsia"/>
          <w:sz w:val="28"/>
          <w:szCs w:val="28"/>
          <w:highlight w:val="none"/>
          <w:lang w:val="en-US" w:eastAsia="zh-CN"/>
        </w:rPr>
      </w:pPr>
      <w:r>
        <w:rPr>
          <w:rFonts w:hint="eastAsia"/>
          <w:sz w:val="28"/>
          <w:szCs w:val="28"/>
          <w:highlight w:val="none"/>
          <w:lang w:val="en-US" w:eastAsia="zh-CN"/>
        </w:rPr>
        <w:t>2.更正内容：</w:t>
      </w:r>
    </w:p>
    <w:p w14:paraId="41C3842F">
      <w:pPr>
        <w:jc w:val="both"/>
        <w:rPr>
          <w:rFonts w:hint="eastAsia"/>
          <w:sz w:val="28"/>
          <w:szCs w:val="28"/>
          <w:highlight w:val="none"/>
          <w:lang w:val="en-US" w:eastAsia="zh-CN"/>
        </w:rPr>
      </w:pPr>
      <w:r>
        <w:rPr>
          <w:rFonts w:hint="eastAsia"/>
          <w:sz w:val="28"/>
          <w:szCs w:val="28"/>
          <w:highlight w:val="none"/>
          <w:lang w:val="en-US" w:eastAsia="zh-CN"/>
        </w:rPr>
        <w:t>2.1原招标文件第十章投标文件格式附件10“联合投标协议书”变更，具体详见附件。</w:t>
      </w:r>
    </w:p>
    <w:p w14:paraId="3A114FFB">
      <w:pPr>
        <w:jc w:val="both"/>
        <w:rPr>
          <w:rFonts w:hint="default"/>
          <w:sz w:val="28"/>
          <w:szCs w:val="28"/>
          <w:highlight w:val="none"/>
          <w:lang w:val="en-US" w:eastAsia="zh-CN"/>
        </w:rPr>
      </w:pPr>
      <w:r>
        <w:rPr>
          <w:rFonts w:hint="eastAsia"/>
          <w:sz w:val="28"/>
          <w:szCs w:val="28"/>
          <w:highlight w:val="none"/>
          <w:lang w:val="en-US" w:eastAsia="zh-CN"/>
        </w:rPr>
        <w:t>2.2投标人若为联合体应按要求提供联合投标协议书及《中小企业声明函》或残疾人福利性单位声明函或监狱企业的证明文件；投标人若非联合体应按要求提供《中小企业声明函》或残疾人福利性单位声明函或监狱企业的证明文件。</w:t>
      </w:r>
    </w:p>
    <w:p w14:paraId="53C8491A">
      <w:pPr>
        <w:jc w:val="both"/>
        <w:rPr>
          <w:rFonts w:hint="eastAsia"/>
          <w:sz w:val="28"/>
          <w:szCs w:val="28"/>
          <w:highlight w:val="none"/>
          <w:lang w:val="en-US" w:eastAsia="zh-CN"/>
        </w:rPr>
      </w:pPr>
      <w:r>
        <w:rPr>
          <w:rFonts w:hint="eastAsia"/>
          <w:sz w:val="28"/>
          <w:szCs w:val="28"/>
          <w:highlight w:val="none"/>
          <w:lang w:val="en-US" w:eastAsia="zh-CN"/>
        </w:rPr>
        <w:t>2.3原采购文件第四章采购需求“ 成品软硬件部分”参数配置变更为：</w:t>
      </w:r>
    </w:p>
    <w:p w14:paraId="5102DDBB">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（1）评标专家倾向性言论分析平台</w:t>
      </w:r>
    </w:p>
    <w:p w14:paraId="4C3E3654">
      <w:pPr>
        <w:rPr>
          <w:rFonts w:hint="eastAsia" w:ascii="仿宋" w:hAnsi="仿宋" w:eastAsia="仿宋" w:cs="仿宋"/>
          <w:highlight w:val="none"/>
        </w:rPr>
      </w:pPr>
    </w:p>
    <w:tbl>
      <w:tblPr>
        <w:tblStyle w:val="4"/>
        <w:tblW w:w="89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5"/>
        <w:gridCol w:w="1144"/>
        <w:gridCol w:w="5805"/>
        <w:gridCol w:w="700"/>
        <w:gridCol w:w="633"/>
      </w:tblGrid>
      <w:tr w14:paraId="626F2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4B9CF084">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序号</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14:paraId="5929FFCD">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分项内容</w:t>
            </w:r>
          </w:p>
        </w:tc>
        <w:tc>
          <w:tcPr>
            <w:tcW w:w="5805" w:type="dxa"/>
            <w:tcBorders>
              <w:top w:val="single" w:color="000000" w:sz="4" w:space="0"/>
              <w:left w:val="single" w:color="000000" w:sz="4" w:space="0"/>
              <w:bottom w:val="single" w:color="000000" w:sz="4" w:space="0"/>
              <w:right w:val="single" w:color="000000" w:sz="4" w:space="0"/>
            </w:tcBorders>
            <w:noWrap w:val="0"/>
            <w:vAlign w:val="center"/>
          </w:tcPr>
          <w:p w14:paraId="5B1650F3">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参数配置</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11660B68">
            <w:pPr>
              <w:keepNext w:val="0"/>
              <w:keepLines w:val="0"/>
              <w:widowControl/>
              <w:suppressLineNumbers w:val="0"/>
              <w:jc w:val="center"/>
              <w:textAlignment w:val="center"/>
              <w:rPr>
                <w:rFonts w:hint="eastAsia" w:ascii="仿宋" w:hAnsi="仿宋" w:eastAsia="仿宋" w:cs="仿宋"/>
                <w:b/>
                <w:bCs/>
                <w:i w:val="0"/>
                <w:iCs w:val="0"/>
                <w:color w:val="000000"/>
                <w:kern w:val="0"/>
                <w:sz w:val="24"/>
                <w:szCs w:val="24"/>
                <w:highlight w:val="none"/>
                <w:u w:val="none"/>
                <w:lang w:val="en-US" w:eastAsia="zh-CN" w:bidi="ar"/>
              </w:rPr>
            </w:pPr>
            <w:r>
              <w:rPr>
                <w:rFonts w:hint="eastAsia" w:ascii="仿宋" w:hAnsi="仿宋" w:eastAsia="仿宋" w:cs="仿宋"/>
                <w:b/>
                <w:bCs/>
                <w:i w:val="0"/>
                <w:iCs w:val="0"/>
                <w:color w:val="000000"/>
                <w:kern w:val="0"/>
                <w:sz w:val="24"/>
                <w:szCs w:val="24"/>
                <w:highlight w:val="none"/>
                <w:u w:val="none"/>
                <w:lang w:val="en-US" w:eastAsia="zh-CN" w:bidi="ar"/>
              </w:rPr>
              <w:t>单位</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14:paraId="246A1913">
            <w:pPr>
              <w:keepNext w:val="0"/>
              <w:keepLines w:val="0"/>
              <w:widowControl/>
              <w:suppressLineNumbers w:val="0"/>
              <w:jc w:val="center"/>
              <w:textAlignment w:val="center"/>
              <w:rPr>
                <w:rFonts w:hint="eastAsia" w:ascii="仿宋" w:hAnsi="仿宋" w:eastAsia="仿宋" w:cs="仿宋"/>
                <w:b/>
                <w:bCs/>
                <w:i w:val="0"/>
                <w:iCs w:val="0"/>
                <w:color w:val="000000"/>
                <w:sz w:val="24"/>
                <w:szCs w:val="24"/>
                <w:highlight w:val="none"/>
                <w:u w:val="none"/>
              </w:rPr>
            </w:pPr>
            <w:r>
              <w:rPr>
                <w:rFonts w:hint="eastAsia" w:ascii="仿宋" w:hAnsi="仿宋" w:eastAsia="仿宋" w:cs="仿宋"/>
                <w:b/>
                <w:bCs/>
                <w:i w:val="0"/>
                <w:iCs w:val="0"/>
                <w:color w:val="000000"/>
                <w:kern w:val="0"/>
                <w:sz w:val="24"/>
                <w:szCs w:val="24"/>
                <w:highlight w:val="none"/>
                <w:u w:val="none"/>
                <w:lang w:val="en-US" w:eastAsia="zh-CN" w:bidi="ar"/>
              </w:rPr>
              <w:t>数量</w:t>
            </w:r>
          </w:p>
        </w:tc>
      </w:tr>
      <w:tr w14:paraId="2F5A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5" w:hRule="atLeast"/>
        </w:trPr>
        <w:tc>
          <w:tcPr>
            <w:tcW w:w="715" w:type="dxa"/>
            <w:tcBorders>
              <w:top w:val="single" w:color="000000" w:sz="4" w:space="0"/>
              <w:left w:val="single" w:color="000000" w:sz="4" w:space="0"/>
              <w:bottom w:val="single" w:color="000000" w:sz="4" w:space="0"/>
              <w:right w:val="single" w:color="000000" w:sz="4" w:space="0"/>
            </w:tcBorders>
            <w:noWrap w:val="0"/>
            <w:vAlign w:val="center"/>
          </w:tcPr>
          <w:p w14:paraId="4EF25452">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c>
          <w:tcPr>
            <w:tcW w:w="1144" w:type="dxa"/>
            <w:tcBorders>
              <w:top w:val="single" w:color="000000" w:sz="4" w:space="0"/>
              <w:left w:val="single" w:color="000000" w:sz="4" w:space="0"/>
              <w:bottom w:val="single" w:color="000000" w:sz="4" w:space="0"/>
              <w:right w:val="single" w:color="000000" w:sz="4" w:space="0"/>
            </w:tcBorders>
            <w:noWrap w:val="0"/>
            <w:vAlign w:val="center"/>
          </w:tcPr>
          <w:p w14:paraId="79BC8FE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评标专家倾向性言论分析平台</w:t>
            </w:r>
          </w:p>
        </w:tc>
        <w:tc>
          <w:tcPr>
            <w:tcW w:w="5805" w:type="dxa"/>
            <w:tcBorders>
              <w:top w:val="single" w:color="000000" w:sz="4" w:space="0"/>
              <w:left w:val="single" w:color="000000" w:sz="4" w:space="0"/>
              <w:bottom w:val="single" w:color="000000" w:sz="4" w:space="0"/>
              <w:right w:val="single" w:color="000000" w:sz="4" w:space="0"/>
            </w:tcBorders>
            <w:noWrap w:val="0"/>
            <w:vAlign w:val="center"/>
          </w:tcPr>
          <w:p w14:paraId="19019E6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语音识别分析平台：</w:t>
            </w:r>
          </w:p>
          <w:p w14:paraId="1515E01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对所有专家的发言内容进行声音拾取、编码、压缩后，送入语音识别引擎进行实时全量转写，所有发言转写的文字原始结果及音频均可全文保存。</w:t>
            </w:r>
          </w:p>
          <w:p w14:paraId="789FBF02">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普通话连续语音实时转写。</w:t>
            </w:r>
          </w:p>
          <w:p w14:paraId="5905FE5B">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p w14:paraId="7E06B567">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文字后处理：</w:t>
            </w:r>
          </w:p>
          <w:p w14:paraId="79C65A8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解码：二遍解码技术</w:t>
            </w:r>
          </w:p>
          <w:p w14:paraId="0D027B6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NLP 增强：文本顺滑/标点识别/英文数字后处理</w:t>
            </w:r>
          </w:p>
          <w:p w14:paraId="4F82AF3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端点检测：精准定位说话起止，实时送入引擎</w:t>
            </w:r>
          </w:p>
          <w:p w14:paraId="2735BA0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p w14:paraId="1E5F897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后端识别处理：</w:t>
            </w:r>
          </w:p>
          <w:p w14:paraId="0D0007A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置信度输出：返回识别结果可信度分值，辅助业务逻辑判断与后续处理。</w:t>
            </w:r>
          </w:p>
          <w:p w14:paraId="0D24F9B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多识别结果（多候选）：按置信度排序返回多个候选结果，支持用户二次选择，提升容错率。</w:t>
            </w:r>
          </w:p>
          <w:p w14:paraId="03693EC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说话人自适应：多轮对话中在线提取语音特征。支持热词等调优方式。</w:t>
            </w:r>
          </w:p>
          <w:p w14:paraId="24C0AD4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p>
          <w:p w14:paraId="79AC7C88">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语音识别引擎:</w:t>
            </w:r>
          </w:p>
          <w:p w14:paraId="68D8798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1、双模型版本可选：小模型版本、大模型版本。</w:t>
            </w:r>
          </w:p>
          <w:p w14:paraId="1BB95A2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2、小模型可采用包括但不限于DFNN深度全序列卷积神经网络、Hybrid-CNN混合模型或DNN完成帧级特征提取，HMM隐马尔可夫模型等；大模型可采用包括但不限于Conformer/MoE音频编码器/LLM/GPT文本解码器/CTC非自回归分支做对齐监督等，端到端完成语音到文本的生成。</w:t>
            </w:r>
          </w:p>
          <w:p w14:paraId="0B6BBDEC">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3、支持音频格式：PCM、WAV、MP3、Opus、G.722等。</w:t>
            </w:r>
          </w:p>
          <w:p w14:paraId="4B172360">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4、升降采样支持：8K、16K编码等多码率输入，包含alaw8k8bit、ulaw8k8bit、opus8k16bit等编码流。</w:t>
            </w:r>
          </w:p>
          <w:p w14:paraId="1841EE1A">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5、方言识别：支持方言识别，小模型支持普通话及山东话，大模型版本支持普通话及山东话混合识别。</w:t>
            </w:r>
          </w:p>
          <w:p w14:paraId="6EC37D64">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6、混合识别：支持中文+英文等混合语种同步识别。</w:t>
            </w:r>
          </w:p>
          <w:p w14:paraId="5C3276A9">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7、热词功能三类热词：全局热词、会话级热词、个性化热词；热词数量≥15000个</w:t>
            </w:r>
          </w:p>
          <w:p w14:paraId="544C25C1">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8、音频按句回听：系统可选择语音转写结果中的任意一句文本，系统将回放该句对应的音频，便于修改校对。</w:t>
            </w:r>
          </w:p>
          <w:p w14:paraId="3D5971D3">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9、支持国产化版本部署。</w:t>
            </w:r>
          </w:p>
          <w:p w14:paraId="5EEB0B3D">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语音识别路数:</w:t>
            </w:r>
          </w:p>
          <w:p w14:paraId="55D3ED65">
            <w:pPr>
              <w:keepNext w:val="0"/>
              <w:keepLines w:val="0"/>
              <w:widowControl/>
              <w:suppressLineNumbers w:val="0"/>
              <w:jc w:val="left"/>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sz w:val="24"/>
                <w:szCs w:val="24"/>
                <w:highlight w:val="none"/>
                <w:u w:val="none"/>
              </w:rPr>
              <w:t>支持50路并发且为永久授权。</w:t>
            </w:r>
          </w:p>
        </w:tc>
        <w:tc>
          <w:tcPr>
            <w:tcW w:w="700" w:type="dxa"/>
            <w:tcBorders>
              <w:top w:val="single" w:color="000000" w:sz="4" w:space="0"/>
              <w:left w:val="single" w:color="000000" w:sz="4" w:space="0"/>
              <w:bottom w:val="single" w:color="000000" w:sz="4" w:space="0"/>
              <w:right w:val="single" w:color="000000" w:sz="4" w:space="0"/>
            </w:tcBorders>
            <w:noWrap w:val="0"/>
            <w:vAlign w:val="center"/>
          </w:tcPr>
          <w:p w14:paraId="532B17C7">
            <w:pPr>
              <w:keepNext w:val="0"/>
              <w:keepLines w:val="0"/>
              <w:widowControl/>
              <w:suppressLineNumbers w:val="0"/>
              <w:jc w:val="center"/>
              <w:textAlignment w:val="center"/>
              <w:rPr>
                <w:rFonts w:hint="eastAsia" w:ascii="仿宋" w:hAnsi="仿宋" w:eastAsia="仿宋" w:cs="仿宋"/>
                <w:i w:val="0"/>
                <w:iCs w:val="0"/>
                <w:color w:val="000000"/>
                <w:kern w:val="0"/>
                <w:sz w:val="24"/>
                <w:szCs w:val="24"/>
                <w:highlight w:val="none"/>
                <w:u w:val="none"/>
                <w:lang w:val="en-US" w:eastAsia="zh-CN" w:bidi="ar"/>
              </w:rPr>
            </w:pPr>
            <w:r>
              <w:rPr>
                <w:rFonts w:hint="eastAsia" w:ascii="仿宋" w:hAnsi="仿宋" w:eastAsia="仿宋" w:cs="仿宋"/>
                <w:i w:val="0"/>
                <w:iCs w:val="0"/>
                <w:color w:val="000000"/>
                <w:kern w:val="0"/>
                <w:sz w:val="24"/>
                <w:szCs w:val="24"/>
                <w:highlight w:val="none"/>
                <w:u w:val="none"/>
                <w:lang w:val="en-US" w:eastAsia="zh-CN" w:bidi="ar"/>
              </w:rPr>
              <w:t>套</w:t>
            </w:r>
          </w:p>
        </w:tc>
        <w:tc>
          <w:tcPr>
            <w:tcW w:w="633" w:type="dxa"/>
            <w:tcBorders>
              <w:top w:val="single" w:color="000000" w:sz="4" w:space="0"/>
              <w:left w:val="single" w:color="000000" w:sz="4" w:space="0"/>
              <w:bottom w:val="single" w:color="000000" w:sz="4" w:space="0"/>
              <w:right w:val="single" w:color="000000" w:sz="4" w:space="0"/>
            </w:tcBorders>
            <w:noWrap w:val="0"/>
            <w:vAlign w:val="center"/>
          </w:tcPr>
          <w:p w14:paraId="6CAE24B9">
            <w:pPr>
              <w:keepNext w:val="0"/>
              <w:keepLines w:val="0"/>
              <w:widowControl/>
              <w:suppressLineNumbers w:val="0"/>
              <w:jc w:val="center"/>
              <w:textAlignment w:val="center"/>
              <w:rPr>
                <w:rFonts w:hint="eastAsia" w:ascii="仿宋" w:hAnsi="仿宋" w:eastAsia="仿宋" w:cs="仿宋"/>
                <w:i w:val="0"/>
                <w:iCs w:val="0"/>
                <w:color w:val="000000"/>
                <w:sz w:val="24"/>
                <w:szCs w:val="24"/>
                <w:highlight w:val="none"/>
                <w:u w:val="none"/>
              </w:rPr>
            </w:pPr>
            <w:r>
              <w:rPr>
                <w:rFonts w:hint="eastAsia" w:ascii="仿宋" w:hAnsi="仿宋" w:eastAsia="仿宋" w:cs="仿宋"/>
                <w:i w:val="0"/>
                <w:iCs w:val="0"/>
                <w:color w:val="000000"/>
                <w:kern w:val="0"/>
                <w:sz w:val="24"/>
                <w:szCs w:val="24"/>
                <w:highlight w:val="none"/>
                <w:u w:val="none"/>
                <w:lang w:val="en-US" w:eastAsia="zh-CN" w:bidi="ar"/>
              </w:rPr>
              <w:t>1</w:t>
            </w:r>
          </w:p>
        </w:tc>
      </w:tr>
    </w:tbl>
    <w:p w14:paraId="18ACD613">
      <w:pPr>
        <w:spacing w:line="360" w:lineRule="auto"/>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（2）不见面呼叫电话调度系统</w:t>
      </w:r>
    </w:p>
    <w:tbl>
      <w:tblPr>
        <w:tblStyle w:val="4"/>
        <w:tblW w:w="8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113"/>
        <w:gridCol w:w="5663"/>
        <w:gridCol w:w="751"/>
        <w:gridCol w:w="672"/>
      </w:tblGrid>
      <w:tr w14:paraId="20D1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798" w:type="dxa"/>
            <w:noWrap w:val="0"/>
            <w:vAlign w:val="top"/>
          </w:tcPr>
          <w:p w14:paraId="2D61D449">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序号</w:t>
            </w:r>
          </w:p>
        </w:tc>
        <w:tc>
          <w:tcPr>
            <w:tcW w:w="1113" w:type="dxa"/>
            <w:noWrap w:val="0"/>
            <w:vAlign w:val="top"/>
          </w:tcPr>
          <w:p w14:paraId="22FA1C01">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w:t>
            </w:r>
          </w:p>
        </w:tc>
        <w:tc>
          <w:tcPr>
            <w:tcW w:w="5663" w:type="dxa"/>
            <w:noWrap w:val="0"/>
            <w:vAlign w:val="top"/>
          </w:tcPr>
          <w:p w14:paraId="61F054C2">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参数配置</w:t>
            </w:r>
          </w:p>
        </w:tc>
        <w:tc>
          <w:tcPr>
            <w:tcW w:w="751" w:type="dxa"/>
            <w:noWrap w:val="0"/>
            <w:vAlign w:val="top"/>
          </w:tcPr>
          <w:p w14:paraId="276E0D2F">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单位</w:t>
            </w:r>
          </w:p>
        </w:tc>
        <w:tc>
          <w:tcPr>
            <w:tcW w:w="672" w:type="dxa"/>
            <w:noWrap w:val="0"/>
            <w:vAlign w:val="top"/>
          </w:tcPr>
          <w:p w14:paraId="4718A362">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数量</w:t>
            </w:r>
          </w:p>
        </w:tc>
      </w:tr>
      <w:tr w14:paraId="74B14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1" w:hRule="atLeast"/>
        </w:trPr>
        <w:tc>
          <w:tcPr>
            <w:tcW w:w="798" w:type="dxa"/>
            <w:noWrap w:val="0"/>
            <w:vAlign w:val="center"/>
          </w:tcPr>
          <w:p w14:paraId="4374666C">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c>
          <w:tcPr>
            <w:tcW w:w="1113" w:type="dxa"/>
            <w:noWrap w:val="0"/>
            <w:vAlign w:val="center"/>
          </w:tcPr>
          <w:p w14:paraId="6596EADB">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IP调度系统</w:t>
            </w:r>
          </w:p>
        </w:tc>
        <w:tc>
          <w:tcPr>
            <w:tcW w:w="5663" w:type="dxa"/>
            <w:noWrap w:val="0"/>
            <w:vAlign w:val="top"/>
          </w:tcPr>
          <w:p w14:paraId="1ED2E954">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注册数50并发数50</w:t>
            </w:r>
          </w:p>
          <w:p w14:paraId="6A4483F1">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软件操作：支持国产化版本部署，支持中英文切换、支持网页端登陆和客户端登陆。</w:t>
            </w:r>
          </w:p>
          <w:p w14:paraId="28EA7C82">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分组管理：系统可以每个区域单独设置</w:t>
            </w:r>
            <w:r>
              <w:rPr>
                <w:rFonts w:hint="eastAsia" w:ascii="仿宋" w:hAnsi="仿宋" w:eastAsia="仿宋" w:cs="仿宋"/>
                <w:color w:val="000000"/>
                <w:sz w:val="24"/>
                <w:szCs w:val="24"/>
                <w:highlight w:val="none"/>
                <w:lang w:val="en-US" w:eastAsia="zh-CN"/>
              </w:rPr>
              <w:t>分组</w:t>
            </w:r>
            <w:r>
              <w:rPr>
                <w:rFonts w:hint="eastAsia" w:ascii="仿宋" w:hAnsi="仿宋" w:eastAsia="仿宋" w:cs="仿宋"/>
                <w:color w:val="000000"/>
                <w:sz w:val="24"/>
                <w:szCs w:val="24"/>
                <w:highlight w:val="none"/>
              </w:rPr>
              <w:t>，可以实现不同的区域间的互联互通。</w:t>
            </w:r>
          </w:p>
          <w:p w14:paraId="13458658">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对讲系统：实现两个IP终端或两个以上不同终端间的实时音视频通信。</w:t>
            </w:r>
          </w:p>
          <w:p w14:paraId="07762DCA">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广播功能：系统可以组播、自动免提呼叫方式发起广播。支持手动、立即、定时、时段播放计划，支持文字、喊话、采播</w:t>
            </w:r>
            <w:r>
              <w:rPr>
                <w:rFonts w:hint="eastAsia" w:ascii="仿宋" w:hAnsi="仿宋" w:eastAsia="仿宋" w:cs="仿宋"/>
                <w:color w:val="000000"/>
                <w:sz w:val="24"/>
                <w:szCs w:val="24"/>
                <w:highlight w:val="none"/>
                <w:lang w:val="en-US" w:eastAsia="zh-CN"/>
              </w:rPr>
              <w:t>等</w:t>
            </w:r>
            <w:r>
              <w:rPr>
                <w:rFonts w:hint="eastAsia" w:ascii="仿宋" w:hAnsi="仿宋" w:eastAsia="仿宋" w:cs="仿宋"/>
                <w:color w:val="000000"/>
                <w:sz w:val="24"/>
                <w:szCs w:val="24"/>
                <w:highlight w:val="none"/>
              </w:rPr>
              <w:t>多种广播方式。</w:t>
            </w:r>
          </w:p>
          <w:p w14:paraId="52D98CDD">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视频联动：当双方建立通话或者触发报警预案时，可以直接联动视频监控，支持GB/T28181（视频监控）、onvif（视频监控）等，看到现场实时状况。</w:t>
            </w:r>
          </w:p>
          <w:p w14:paraId="29D622E0">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寻呼功能：话机发起寻呼喊话，当单个被叫终端按键后其它终端自动挂断，实现发起寻呼终端和触发按键终端间的双向通话。</w:t>
            </w:r>
          </w:p>
          <w:p w14:paraId="28633EF3">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监听功能：管理员可以在电脑上监听多个用户的通话，并对通话进行实时管理。</w:t>
            </w:r>
          </w:p>
          <w:p w14:paraId="1D150E04">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会议功能：管理员可以临时发起多人的音视频会议，终端可以采用拔打接入号方式实现发起多人音视频会议。</w:t>
            </w:r>
          </w:p>
          <w:p w14:paraId="22122EBD">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呼叫转移：将呼叫来电转移给其他用户，实现内部转接，提高内部通信效率。</w:t>
            </w:r>
          </w:p>
          <w:p w14:paraId="4319180E">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多方通话：实现两个或两个以上不同终端间的音视频通话。</w:t>
            </w:r>
          </w:p>
          <w:p w14:paraId="011116CB">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录音录像：自动录音录像，系统可设置分机进行通话录音录像;也可以单独关闭分机录音录像功能。</w:t>
            </w:r>
          </w:p>
          <w:p w14:paraId="7BC187E2">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电子地图：支持在线地图和区域离线地图。终端可以在地图的当前区域显示，实时显示终端状态，控制终端操作。</w:t>
            </w:r>
          </w:p>
          <w:p w14:paraId="5DEF37D8">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预案功能：触发警报时，系统会向调度员发出警报，调度员可以处理或清除警报。还可以提前设置计划，包括触发广播、视频和对讲。</w:t>
            </w:r>
          </w:p>
          <w:p w14:paraId="142A3912">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系统对接：系统采用标准SIP协议，提供开发接口文档。</w:t>
            </w:r>
          </w:p>
          <w:p w14:paraId="7A1DFA99">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软硬件支持：支持市面标准SIP终端，主流网页浏览器。</w:t>
            </w:r>
          </w:p>
          <w:p w14:paraId="64CEF41E">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三方接口：提供系统API接口。</w:t>
            </w:r>
          </w:p>
        </w:tc>
        <w:tc>
          <w:tcPr>
            <w:tcW w:w="751" w:type="dxa"/>
            <w:noWrap w:val="0"/>
            <w:vAlign w:val="center"/>
          </w:tcPr>
          <w:p w14:paraId="0FC7E0AB">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套</w:t>
            </w:r>
          </w:p>
        </w:tc>
        <w:tc>
          <w:tcPr>
            <w:tcW w:w="672" w:type="dxa"/>
            <w:noWrap w:val="0"/>
            <w:vAlign w:val="center"/>
          </w:tcPr>
          <w:p w14:paraId="5AD8340C">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w:t>
            </w:r>
          </w:p>
        </w:tc>
      </w:tr>
      <w:tr w14:paraId="1943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9" w:hRule="atLeast"/>
        </w:trPr>
        <w:tc>
          <w:tcPr>
            <w:tcW w:w="798" w:type="dxa"/>
            <w:noWrap w:val="0"/>
            <w:vAlign w:val="center"/>
          </w:tcPr>
          <w:p w14:paraId="2737D9A8">
            <w:pPr>
              <w:adjustRightInd w:val="0"/>
              <w:spacing w:line="240" w:lineRule="auto"/>
              <w:ind w:firstLine="0" w:firstLineChars="0"/>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w:t>
            </w:r>
          </w:p>
        </w:tc>
        <w:tc>
          <w:tcPr>
            <w:tcW w:w="1113" w:type="dxa"/>
            <w:noWrap w:val="0"/>
            <w:vAlign w:val="center"/>
          </w:tcPr>
          <w:p w14:paraId="524A2CE1">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IP话机</w:t>
            </w:r>
          </w:p>
        </w:tc>
        <w:tc>
          <w:tcPr>
            <w:tcW w:w="5663" w:type="dxa"/>
            <w:noWrap w:val="0"/>
            <w:vAlign w:val="top"/>
          </w:tcPr>
          <w:p w14:paraId="0655D6DF">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基本性能：</w:t>
            </w:r>
          </w:p>
          <w:p w14:paraId="6B356290">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2条SIP线路</w:t>
            </w:r>
          </w:p>
          <w:p w14:paraId="05BD44FB">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高清语音</w:t>
            </w:r>
          </w:p>
          <w:p w14:paraId="4CB8CA36">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以太网供电/电源适配器</w:t>
            </w:r>
          </w:p>
          <w:p w14:paraId="19304F69">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手柄(HS)/免提(HF)/耳机(HP)</w:t>
            </w:r>
          </w:p>
          <w:p w14:paraId="751A22FE">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桌面立式/墙挂模式</w:t>
            </w:r>
          </w:p>
          <w:p w14:paraId="0578F1EA">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通话功能：</w:t>
            </w:r>
          </w:p>
          <w:p w14:paraId="1F48D2F5">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拨出/接听/拒接</w:t>
            </w:r>
          </w:p>
          <w:p w14:paraId="4A5D207F">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静音/取消静音(麦克风)</w:t>
            </w:r>
          </w:p>
          <w:p w14:paraId="652F9B70">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通话保持/继续</w:t>
            </w:r>
          </w:p>
          <w:p w14:paraId="1DE3C29C">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呼叫等待</w:t>
            </w:r>
          </w:p>
          <w:p w14:paraId="1F94634D">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对讲功能(Intercom)</w:t>
            </w:r>
          </w:p>
          <w:p w14:paraId="3C87A9BF">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来电显示</w:t>
            </w:r>
          </w:p>
          <w:p w14:paraId="14F99287">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呼叫转移(CallForward)（所有/忙线/无应答）</w:t>
            </w:r>
          </w:p>
          <w:p w14:paraId="7CBA9BE0">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通话转移(CallTransfer)（出席/非出席）</w:t>
            </w:r>
          </w:p>
          <w:p w14:paraId="7CD62BA1">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通话停驻保留(CallParking)/提取(Pick-up)(需配合服务器)</w:t>
            </w:r>
          </w:p>
          <w:p w14:paraId="3D6B7B51">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重拨</w:t>
            </w:r>
          </w:p>
          <w:p w14:paraId="3263135A">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免打扰(DND)(可个别线路配置)</w:t>
            </w:r>
          </w:p>
          <w:p w14:paraId="284C2393">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自动应答(可个别线路配置)</w:t>
            </w:r>
          </w:p>
          <w:p w14:paraId="3C23E51B">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语音信箱(需配合服务器)</w:t>
            </w:r>
          </w:p>
          <w:p w14:paraId="1803907F">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本地三方电话会议</w:t>
            </w:r>
          </w:p>
          <w:p w14:paraId="40779F0C">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话机功能：</w:t>
            </w:r>
          </w:p>
          <w:p w14:paraId="6930B548">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智能电话本</w:t>
            </w:r>
          </w:p>
          <w:p w14:paraId="281940DE">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网络电话本(支持XML/LDAP)</w:t>
            </w:r>
          </w:p>
          <w:p w14:paraId="121D778C">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通话记录(拨入/拨出/未接)</w:t>
            </w:r>
          </w:p>
          <w:p w14:paraId="44DD7CBB">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屏保待机</w:t>
            </w:r>
          </w:p>
          <w:p w14:paraId="55550375">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语音留言等候提示(VMWI)</w:t>
            </w:r>
          </w:p>
          <w:p w14:paraId="7898FB54">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网络时间同步</w:t>
            </w:r>
          </w:p>
        </w:tc>
        <w:tc>
          <w:tcPr>
            <w:tcW w:w="751" w:type="dxa"/>
            <w:noWrap w:val="0"/>
            <w:vAlign w:val="center"/>
          </w:tcPr>
          <w:p w14:paraId="716D19DD">
            <w:pPr>
              <w:adjustRightInd w:val="0"/>
              <w:spacing w:line="240" w:lineRule="auto"/>
              <w:ind w:firstLine="0" w:firstLineChars="0"/>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台</w:t>
            </w:r>
          </w:p>
        </w:tc>
        <w:tc>
          <w:tcPr>
            <w:tcW w:w="672" w:type="dxa"/>
            <w:noWrap w:val="0"/>
            <w:vAlign w:val="center"/>
          </w:tcPr>
          <w:p w14:paraId="3A4C1538">
            <w:pPr>
              <w:adjustRightInd w:val="0"/>
              <w:spacing w:line="240" w:lineRule="auto"/>
              <w:ind w:firstLine="0" w:firstLineChars="0"/>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24</w:t>
            </w:r>
          </w:p>
        </w:tc>
      </w:tr>
      <w:tr w14:paraId="263E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2" w:hRule="atLeast"/>
        </w:trPr>
        <w:tc>
          <w:tcPr>
            <w:tcW w:w="798" w:type="dxa"/>
            <w:noWrap w:val="0"/>
            <w:vAlign w:val="center"/>
          </w:tcPr>
          <w:p w14:paraId="53120D31">
            <w:pPr>
              <w:adjustRightInd w:val="0"/>
              <w:spacing w:line="240" w:lineRule="auto"/>
              <w:ind w:firstLine="0" w:firstLineChars="0"/>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3</w:t>
            </w:r>
          </w:p>
        </w:tc>
        <w:tc>
          <w:tcPr>
            <w:tcW w:w="1113" w:type="dxa"/>
            <w:noWrap w:val="0"/>
            <w:vAlign w:val="center"/>
          </w:tcPr>
          <w:p w14:paraId="525C9EFC">
            <w:pPr>
              <w:adjustRightInd w:val="0"/>
              <w:spacing w:line="240" w:lineRule="auto"/>
              <w:ind w:firstLine="0" w:firstLineChars="0"/>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鹅颈麦7寸IP话机</w:t>
            </w:r>
          </w:p>
        </w:tc>
        <w:tc>
          <w:tcPr>
            <w:tcW w:w="5663" w:type="dxa"/>
            <w:noWrap w:val="0"/>
            <w:vAlign w:val="top"/>
          </w:tcPr>
          <w:p w14:paraId="5D80AF85">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配备鹅颈麦克风，提供清晰的远距离拾音效果，具备智能语音算法支持全双工通话及三方视频会议，喇叭最大音量可达90dB。提供不小于7英寸彩色触摸屏，支持不小于116个DSS按键。内置不小于500万像素可调节角度摄像头，支持H.264视频编解码和宽带音频编解码，提供双向高清音视频通话功能。</w:t>
            </w:r>
          </w:p>
          <w:p w14:paraId="1EF8C51A">
            <w:pPr>
              <w:adjustRightInd w:val="0"/>
              <w:spacing w:line="240" w:lineRule="auto"/>
              <w:ind w:firstLine="0" w:firstLineChars="0"/>
              <w:jc w:val="left"/>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配备至少两种用途的支架，支持桌面式、壁挂式等方式安装，适配不同场景安装需要。支持标准SIP协议，兼容性好，提供统一通讯、可扩展增值业务、丰富灵活的通讯解决方案，满足覆盖评标现场即时通信与调度需求。</w:t>
            </w:r>
          </w:p>
        </w:tc>
        <w:tc>
          <w:tcPr>
            <w:tcW w:w="751" w:type="dxa"/>
            <w:noWrap w:val="0"/>
            <w:vAlign w:val="center"/>
          </w:tcPr>
          <w:p w14:paraId="6B129D93">
            <w:pPr>
              <w:adjustRightInd w:val="0"/>
              <w:spacing w:line="240" w:lineRule="auto"/>
              <w:ind w:firstLine="0" w:firstLineChars="0"/>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台</w:t>
            </w:r>
          </w:p>
        </w:tc>
        <w:tc>
          <w:tcPr>
            <w:tcW w:w="672" w:type="dxa"/>
            <w:noWrap w:val="0"/>
            <w:vAlign w:val="center"/>
          </w:tcPr>
          <w:p w14:paraId="7AB9E831">
            <w:pPr>
              <w:adjustRightInd w:val="0"/>
              <w:spacing w:line="240" w:lineRule="auto"/>
              <w:ind w:firstLine="0" w:firstLineChars="0"/>
              <w:jc w:val="center"/>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10</w:t>
            </w:r>
          </w:p>
        </w:tc>
      </w:tr>
    </w:tbl>
    <w:p w14:paraId="33CBB526">
      <w:pPr>
        <w:jc w:val="both"/>
        <w:rPr>
          <w:rFonts w:hint="default"/>
          <w:sz w:val="28"/>
          <w:szCs w:val="28"/>
          <w:highlight w:val="none"/>
          <w:lang w:val="en-US" w:eastAsia="zh-CN"/>
        </w:rPr>
      </w:pPr>
      <w:r>
        <w:rPr>
          <w:rFonts w:hint="eastAsia"/>
          <w:sz w:val="28"/>
          <w:szCs w:val="28"/>
          <w:highlight w:val="none"/>
          <w:lang w:val="en-US" w:eastAsia="zh-CN"/>
        </w:rPr>
        <w:t>三、其他补充事宜：无</w:t>
      </w:r>
    </w:p>
    <w:p w14:paraId="482B0F3D">
      <w:pPr>
        <w:jc w:val="both"/>
        <w:rPr>
          <w:rFonts w:hint="eastAsia"/>
          <w:sz w:val="32"/>
          <w:szCs w:val="32"/>
          <w:highlight w:val="none"/>
          <w:lang w:val="en-US" w:eastAsia="zh-CN"/>
        </w:rPr>
      </w:pPr>
    </w:p>
    <w:p w14:paraId="39428962">
      <w:pPr>
        <w:pStyle w:val="7"/>
        <w:widowControl/>
        <w:autoSpaceDE w:val="0"/>
        <w:autoSpaceDN w:val="0"/>
        <w:adjustRightInd w:val="0"/>
        <w:spacing w:line="40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附件10：</w:t>
      </w:r>
    </w:p>
    <w:p w14:paraId="3A6E7C54">
      <w:pPr>
        <w:pStyle w:val="7"/>
        <w:widowControl/>
        <w:autoSpaceDE w:val="0"/>
        <w:autoSpaceDN w:val="0"/>
        <w:adjustRightInd w:val="0"/>
        <w:spacing w:line="400" w:lineRule="exact"/>
        <w:ind w:firstLine="630"/>
        <w:jc w:val="center"/>
        <w:rPr>
          <w:rFonts w:ascii="仿宋" w:hAnsi="仿宋" w:eastAsia="仿宋"/>
          <w:color w:val="000000"/>
          <w:kern w:val="1"/>
          <w:sz w:val="28"/>
          <w:szCs w:val="28"/>
          <w:highlight w:val="none"/>
        </w:rPr>
      </w:pPr>
      <w:r>
        <w:rPr>
          <w:rFonts w:hint="eastAsia" w:ascii="仿宋" w:hAnsi="仿宋" w:eastAsia="仿宋" w:cs="宋体"/>
          <w:color w:val="000000"/>
          <w:kern w:val="1"/>
          <w:sz w:val="28"/>
          <w:szCs w:val="28"/>
          <w:highlight w:val="none"/>
        </w:rPr>
        <w:t>联合投标协议书</w:t>
      </w:r>
    </w:p>
    <w:p w14:paraId="16F00B1D">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甲方：</w:t>
      </w:r>
    </w:p>
    <w:p w14:paraId="16ACDD2E">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乙方：</w:t>
      </w:r>
    </w:p>
    <w:p w14:paraId="2EC86770">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（如果两个以上的自然人、法人或者其他组织组成一个联合，可按照甲、乙、丙、丁…序列增加）</w:t>
      </w:r>
    </w:p>
    <w:p w14:paraId="7356815B">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联合体各方经协商，就响应</w:t>
      </w:r>
      <w:r>
        <w:rPr>
          <w:rFonts w:hint="eastAsia" w:ascii="仿宋" w:hAnsi="仿宋" w:eastAsia="仿宋"/>
          <w:color w:val="000000"/>
          <w:kern w:val="1"/>
          <w:sz w:val="24"/>
          <w:highlight w:val="none"/>
          <w:u w:val="single"/>
        </w:rPr>
        <w:t>（采购人名称）</w:t>
      </w:r>
      <w:r>
        <w:rPr>
          <w:rFonts w:hint="eastAsia" w:ascii="仿宋" w:hAnsi="仿宋" w:eastAsia="仿宋"/>
          <w:color w:val="000000"/>
          <w:kern w:val="1"/>
          <w:sz w:val="24"/>
          <w:highlight w:val="none"/>
        </w:rPr>
        <w:t>组织实施</w:t>
      </w:r>
      <w:r>
        <w:rPr>
          <w:rFonts w:hint="eastAsia" w:ascii="仿宋" w:hAnsi="仿宋" w:eastAsia="仿宋"/>
          <w:color w:val="000000"/>
          <w:kern w:val="1"/>
          <w:sz w:val="24"/>
          <w:highlight w:val="none"/>
          <w:u w:val="single"/>
        </w:rPr>
        <w:t>（项目名称）（项目编号）</w:t>
      </w:r>
      <w:r>
        <w:rPr>
          <w:rFonts w:hint="eastAsia" w:ascii="仿宋" w:hAnsi="仿宋" w:eastAsia="仿宋"/>
          <w:color w:val="000000"/>
          <w:kern w:val="1"/>
          <w:sz w:val="24"/>
          <w:highlight w:val="none"/>
        </w:rPr>
        <w:t>的招标活动联合进行投标之事宜，达成如下协议：</w:t>
      </w:r>
    </w:p>
    <w:p w14:paraId="53721C70">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 xml:space="preserve">一、联合体各方一致决定，以 </w:t>
      </w:r>
      <w:r>
        <w:rPr>
          <w:rFonts w:hint="eastAsia" w:ascii="仿宋" w:hAnsi="仿宋" w:eastAsia="仿宋"/>
          <w:color w:val="000000"/>
          <w:kern w:val="1"/>
          <w:sz w:val="24"/>
          <w:highlight w:val="none"/>
          <w:u w:val="single"/>
        </w:rPr>
        <w:t xml:space="preserve">      </w:t>
      </w:r>
      <w:r>
        <w:rPr>
          <w:rFonts w:hint="eastAsia" w:ascii="仿宋" w:hAnsi="仿宋" w:eastAsia="仿宋"/>
          <w:color w:val="000000"/>
          <w:kern w:val="1"/>
          <w:sz w:val="24"/>
          <w:highlight w:val="none"/>
          <w:u w:val="none"/>
        </w:rPr>
        <w:t>为</w:t>
      </w:r>
      <w:r>
        <w:rPr>
          <w:rFonts w:hint="eastAsia" w:ascii="仿宋" w:hAnsi="仿宋" w:eastAsia="仿宋"/>
          <w:color w:val="000000"/>
          <w:kern w:val="1"/>
          <w:sz w:val="24"/>
          <w:highlight w:val="none"/>
        </w:rPr>
        <w:t>主办人进行投标，并按照招标文件的规定分别提交资格文件。</w:t>
      </w:r>
    </w:p>
    <w:p w14:paraId="6CFBDCBD">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二、在本次投标过程中，主办人的法定代表人或者授权代理人根据招标文件规定以及投标内容对采购人所作的任何合法承诺，包括书面澄清以及响应等对联合体各方均有约束力。如果中标并签订合同，则联合体各方将共同履行对采购人或者采购代理机构所负有的全部义务，并就采购合同约定的事项对采购人承担连带责任。</w:t>
      </w:r>
    </w:p>
    <w:p w14:paraId="535E8921">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三、联合体各方保证对主办人为响应本次招标而提供的产品和服务提供全部质量保证以及售后服务支持。</w:t>
      </w:r>
    </w:p>
    <w:p w14:paraId="13AEE419">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四、本次联合投标中，联合体各方承担的工作和义务：</w:t>
      </w:r>
    </w:p>
    <w:p w14:paraId="41A3C1CA">
      <w:pPr>
        <w:pStyle w:val="7"/>
        <w:widowControl/>
        <w:autoSpaceDE w:val="0"/>
        <w:autoSpaceDN w:val="0"/>
        <w:adjustRightInd w:val="0"/>
        <w:spacing w:line="440" w:lineRule="exact"/>
        <w:rPr>
          <w:rFonts w:hint="eastAsia" w:ascii="仿宋" w:hAnsi="仿宋" w:eastAsia="仿宋"/>
          <w:color w:val="000000"/>
          <w:kern w:val="1"/>
          <w:sz w:val="24"/>
          <w:highlight w:val="none"/>
        </w:rPr>
      </w:pPr>
      <w:r>
        <w:rPr>
          <w:rFonts w:hint="eastAsia" w:ascii="仿宋" w:hAnsi="仿宋" w:eastAsia="仿宋"/>
          <w:color w:val="000000"/>
          <w:kern w:val="1"/>
          <w:sz w:val="24"/>
          <w:highlight w:val="none"/>
        </w:rPr>
        <w:t>甲方</w:t>
      </w:r>
    </w:p>
    <w:p w14:paraId="60780ED9">
      <w:pPr>
        <w:pStyle w:val="7"/>
        <w:widowControl/>
        <w:numPr>
          <w:ilvl w:val="0"/>
          <w:numId w:val="1"/>
        </w:numPr>
        <w:autoSpaceDE w:val="0"/>
        <w:autoSpaceDN w:val="0"/>
        <w:adjustRightInd w:val="0"/>
        <w:spacing w:line="440" w:lineRule="exact"/>
        <w:rPr>
          <w:rFonts w:hint="eastAsia" w:ascii="仿宋" w:hAnsi="仿宋" w:eastAsia="仿宋"/>
          <w:color w:val="000000"/>
          <w:kern w:val="1"/>
          <w:sz w:val="24"/>
          <w:highlight w:val="none"/>
          <w:u w:val="single"/>
          <w:lang w:val="en-US" w:eastAsia="zh-CN"/>
        </w:rPr>
      </w:pPr>
      <w:r>
        <w:rPr>
          <w:rFonts w:hint="eastAsia" w:ascii="仿宋" w:hAnsi="仿宋" w:eastAsia="仿宋"/>
          <w:color w:val="000000"/>
          <w:kern w:val="1"/>
          <w:sz w:val="24"/>
          <w:highlight w:val="none"/>
          <w:lang w:val="en-US" w:eastAsia="zh-CN"/>
        </w:rPr>
        <w:t>企业类型：</w:t>
      </w:r>
      <w:r>
        <w:rPr>
          <w:rFonts w:hint="eastAsia" w:ascii="仿宋" w:hAnsi="仿宋" w:eastAsia="仿宋"/>
          <w:color w:val="000000"/>
          <w:kern w:val="1"/>
          <w:sz w:val="24"/>
          <w:highlight w:val="none"/>
          <w:u w:val="single"/>
          <w:lang w:val="en-US" w:eastAsia="zh-CN"/>
        </w:rPr>
        <w:t xml:space="preserve">        </w:t>
      </w:r>
      <w:r>
        <w:rPr>
          <w:rFonts w:hint="eastAsia" w:ascii="仿宋" w:hAnsi="仿宋" w:eastAsia="仿宋"/>
          <w:color w:val="000000"/>
          <w:kern w:val="1"/>
          <w:sz w:val="24"/>
          <w:highlight w:val="none"/>
          <w:u w:val="none"/>
          <w:lang w:val="en-US" w:eastAsia="zh-CN"/>
        </w:rPr>
        <w:t>（大型/中型/小型/微型）</w:t>
      </w:r>
    </w:p>
    <w:p w14:paraId="51E46BBB">
      <w:pPr>
        <w:pStyle w:val="7"/>
        <w:widowControl/>
        <w:numPr>
          <w:ilvl w:val="0"/>
          <w:numId w:val="0"/>
        </w:numPr>
        <w:autoSpaceDE w:val="0"/>
        <w:autoSpaceDN w:val="0"/>
        <w:adjustRightInd w:val="0"/>
        <w:spacing w:line="440" w:lineRule="exact"/>
        <w:rPr>
          <w:rFonts w:hint="eastAsia" w:ascii="仿宋" w:hAnsi="仿宋" w:eastAsia="仿宋"/>
          <w:color w:val="000000"/>
          <w:kern w:val="1"/>
          <w:sz w:val="24"/>
          <w:highlight w:val="none"/>
          <w:u w:val="single"/>
          <w:lang w:val="en-US" w:eastAsia="zh-CN"/>
        </w:rPr>
      </w:pPr>
      <w:r>
        <w:rPr>
          <w:rFonts w:hint="eastAsia" w:ascii="仿宋" w:hAnsi="仿宋" w:eastAsia="仿宋"/>
          <w:b/>
          <w:bCs/>
          <w:color w:val="000000"/>
          <w:kern w:val="1"/>
          <w:sz w:val="24"/>
          <w:highlight w:val="none"/>
          <w:u w:val="none"/>
          <w:lang w:val="en-US" w:eastAsia="zh-CN"/>
        </w:rPr>
        <w:t>注：</w:t>
      </w:r>
      <w:r>
        <w:rPr>
          <w:rFonts w:hint="eastAsia" w:ascii="仿宋" w:hAnsi="仿宋" w:eastAsia="仿宋"/>
          <w:b/>
          <w:bCs/>
          <w:color w:val="000000"/>
          <w:kern w:val="1"/>
          <w:sz w:val="24"/>
          <w:highlight w:val="none"/>
          <w:lang w:val="en-US" w:eastAsia="zh-CN"/>
        </w:rPr>
        <w:t>与附件12《中小企业声明函》中的企业类型保持一致</w:t>
      </w:r>
      <w:r>
        <w:rPr>
          <w:rFonts w:hint="eastAsia" w:ascii="仿宋" w:hAnsi="仿宋" w:eastAsia="仿宋"/>
          <w:color w:val="000000"/>
          <w:kern w:val="1"/>
          <w:sz w:val="24"/>
          <w:highlight w:val="none"/>
          <w:lang w:val="en-US" w:eastAsia="zh-CN"/>
        </w:rPr>
        <w:t>。</w:t>
      </w:r>
    </w:p>
    <w:p w14:paraId="182D6D8B">
      <w:pPr>
        <w:pStyle w:val="7"/>
        <w:widowControl/>
        <w:numPr>
          <w:ilvl w:val="0"/>
          <w:numId w:val="1"/>
        </w:numPr>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lang w:val="en-US" w:eastAsia="zh-CN"/>
        </w:rPr>
        <w:t>承接本项目的份额占比：</w:t>
      </w:r>
      <w:r>
        <w:rPr>
          <w:rFonts w:hint="eastAsia" w:ascii="仿宋" w:hAnsi="仿宋" w:eastAsia="仿宋"/>
          <w:color w:val="000000"/>
          <w:kern w:val="1"/>
          <w:sz w:val="24"/>
          <w:highlight w:val="none"/>
          <w:u w:val="single"/>
          <w:lang w:val="en-US" w:eastAsia="zh-CN"/>
        </w:rPr>
        <w:t xml:space="preserve">    %</w:t>
      </w:r>
    </w:p>
    <w:p w14:paraId="06D5CB4D">
      <w:pPr>
        <w:pStyle w:val="7"/>
        <w:widowControl/>
        <w:numPr>
          <w:ilvl w:val="0"/>
          <w:numId w:val="0"/>
        </w:numPr>
        <w:autoSpaceDE w:val="0"/>
        <w:autoSpaceDN w:val="0"/>
        <w:adjustRightInd w:val="0"/>
        <w:spacing w:line="440" w:lineRule="exact"/>
        <w:rPr>
          <w:rFonts w:hint="eastAsia" w:ascii="仿宋" w:hAnsi="仿宋" w:eastAsia="仿宋"/>
          <w:b/>
          <w:bCs/>
          <w:color w:val="000000"/>
          <w:kern w:val="1"/>
          <w:sz w:val="24"/>
          <w:highlight w:val="none"/>
          <w:lang w:eastAsia="zh-CN"/>
        </w:rPr>
      </w:pPr>
      <w:r>
        <w:rPr>
          <w:rFonts w:hint="eastAsia" w:ascii="仿宋" w:hAnsi="仿宋" w:eastAsia="仿宋"/>
          <w:b/>
          <w:bCs/>
          <w:color w:val="000000"/>
          <w:kern w:val="1"/>
          <w:sz w:val="24"/>
          <w:highlight w:val="none"/>
          <w:lang w:val="en-US" w:eastAsia="zh-CN"/>
        </w:rPr>
        <w:t>注：</w:t>
      </w:r>
      <w:r>
        <w:rPr>
          <w:rFonts w:hint="eastAsia" w:ascii="仿宋" w:hAnsi="仿宋" w:eastAsia="仿宋"/>
          <w:b/>
          <w:bCs/>
          <w:color w:val="000000"/>
          <w:kern w:val="1"/>
          <w:sz w:val="24"/>
          <w:highlight w:val="none"/>
        </w:rPr>
        <w:t>中小微企业所承接本项目的份额应不低于招标公告中给中小微企业预留份额比例</w:t>
      </w:r>
      <w:r>
        <w:rPr>
          <w:rFonts w:hint="eastAsia" w:ascii="仿宋" w:hAnsi="仿宋" w:eastAsia="仿宋"/>
          <w:b/>
          <w:bCs/>
          <w:color w:val="000000"/>
          <w:kern w:val="1"/>
          <w:sz w:val="24"/>
          <w:highlight w:val="none"/>
          <w:lang w:eastAsia="zh-CN"/>
        </w:rPr>
        <w:t>。</w:t>
      </w:r>
    </w:p>
    <w:p w14:paraId="592166F3">
      <w:pPr>
        <w:pStyle w:val="7"/>
        <w:widowControl/>
        <w:numPr>
          <w:ilvl w:val="0"/>
          <w:numId w:val="1"/>
        </w:numPr>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承担的工作和义务为：</w:t>
      </w:r>
    </w:p>
    <w:p w14:paraId="04EB04A9">
      <w:pPr>
        <w:pStyle w:val="7"/>
        <w:widowControl/>
        <w:autoSpaceDE w:val="0"/>
        <w:autoSpaceDN w:val="0"/>
        <w:adjustRightInd w:val="0"/>
        <w:spacing w:line="440" w:lineRule="exact"/>
        <w:rPr>
          <w:rFonts w:hint="eastAsia" w:ascii="仿宋" w:hAnsi="仿宋" w:eastAsia="仿宋"/>
          <w:color w:val="000000"/>
          <w:kern w:val="1"/>
          <w:sz w:val="24"/>
          <w:highlight w:val="none"/>
        </w:rPr>
      </w:pPr>
      <w:r>
        <w:rPr>
          <w:rFonts w:hint="eastAsia" w:ascii="仿宋" w:hAnsi="仿宋" w:eastAsia="仿宋"/>
          <w:color w:val="000000"/>
          <w:kern w:val="1"/>
          <w:sz w:val="24"/>
          <w:highlight w:val="none"/>
        </w:rPr>
        <w:t>乙方</w:t>
      </w:r>
    </w:p>
    <w:p w14:paraId="43802B75">
      <w:pPr>
        <w:pStyle w:val="7"/>
        <w:widowControl/>
        <w:numPr>
          <w:ilvl w:val="0"/>
          <w:numId w:val="2"/>
        </w:numPr>
        <w:autoSpaceDE w:val="0"/>
        <w:autoSpaceDN w:val="0"/>
        <w:adjustRightInd w:val="0"/>
        <w:spacing w:line="440" w:lineRule="exact"/>
        <w:rPr>
          <w:rFonts w:hint="eastAsia" w:ascii="仿宋" w:hAnsi="仿宋" w:eastAsia="仿宋"/>
          <w:color w:val="000000"/>
          <w:kern w:val="1"/>
          <w:sz w:val="24"/>
          <w:highlight w:val="none"/>
          <w:u w:val="single"/>
          <w:lang w:val="en-US" w:eastAsia="zh-CN"/>
        </w:rPr>
      </w:pPr>
      <w:r>
        <w:rPr>
          <w:rFonts w:hint="eastAsia" w:ascii="仿宋" w:hAnsi="仿宋" w:eastAsia="仿宋"/>
          <w:color w:val="000000"/>
          <w:kern w:val="1"/>
          <w:sz w:val="24"/>
          <w:highlight w:val="none"/>
          <w:lang w:val="en-US" w:eastAsia="zh-CN"/>
        </w:rPr>
        <w:t>企业类型：</w:t>
      </w:r>
      <w:r>
        <w:rPr>
          <w:rFonts w:hint="eastAsia" w:ascii="仿宋" w:hAnsi="仿宋" w:eastAsia="仿宋"/>
          <w:color w:val="000000"/>
          <w:kern w:val="1"/>
          <w:sz w:val="24"/>
          <w:highlight w:val="none"/>
          <w:u w:val="single"/>
          <w:lang w:val="en-US" w:eastAsia="zh-CN"/>
        </w:rPr>
        <w:t xml:space="preserve">        </w:t>
      </w:r>
      <w:r>
        <w:rPr>
          <w:rFonts w:hint="eastAsia" w:ascii="仿宋" w:hAnsi="仿宋" w:eastAsia="仿宋"/>
          <w:color w:val="000000"/>
          <w:kern w:val="1"/>
          <w:sz w:val="24"/>
          <w:highlight w:val="none"/>
          <w:u w:val="none"/>
          <w:lang w:val="en-US" w:eastAsia="zh-CN"/>
        </w:rPr>
        <w:t>（大型/中型/小型/微型）</w:t>
      </w:r>
    </w:p>
    <w:p w14:paraId="53E8BC13">
      <w:pPr>
        <w:pStyle w:val="7"/>
        <w:widowControl/>
        <w:numPr>
          <w:ilvl w:val="0"/>
          <w:numId w:val="0"/>
        </w:numPr>
        <w:autoSpaceDE w:val="0"/>
        <w:autoSpaceDN w:val="0"/>
        <w:adjustRightInd w:val="0"/>
        <w:spacing w:line="440" w:lineRule="exact"/>
        <w:rPr>
          <w:rFonts w:hint="eastAsia" w:ascii="仿宋" w:hAnsi="仿宋" w:eastAsia="仿宋"/>
          <w:color w:val="000000"/>
          <w:kern w:val="1"/>
          <w:sz w:val="24"/>
          <w:highlight w:val="none"/>
          <w:u w:val="single"/>
          <w:lang w:val="en-US" w:eastAsia="zh-CN"/>
        </w:rPr>
      </w:pPr>
      <w:r>
        <w:rPr>
          <w:rFonts w:hint="eastAsia" w:ascii="仿宋" w:hAnsi="仿宋" w:eastAsia="仿宋"/>
          <w:b/>
          <w:bCs/>
          <w:color w:val="000000"/>
          <w:kern w:val="1"/>
          <w:sz w:val="24"/>
          <w:highlight w:val="none"/>
          <w:u w:val="none"/>
          <w:lang w:val="en-US" w:eastAsia="zh-CN"/>
        </w:rPr>
        <w:t>注：</w:t>
      </w:r>
      <w:r>
        <w:rPr>
          <w:rFonts w:hint="eastAsia" w:ascii="仿宋" w:hAnsi="仿宋" w:eastAsia="仿宋"/>
          <w:b/>
          <w:bCs/>
          <w:color w:val="000000"/>
          <w:kern w:val="1"/>
          <w:sz w:val="24"/>
          <w:highlight w:val="none"/>
          <w:lang w:val="en-US" w:eastAsia="zh-CN"/>
        </w:rPr>
        <w:t>与附件12《中小企业声明函》中的企业类型保持一致</w:t>
      </w:r>
      <w:r>
        <w:rPr>
          <w:rFonts w:hint="eastAsia" w:ascii="仿宋" w:hAnsi="仿宋" w:eastAsia="仿宋"/>
          <w:color w:val="000000"/>
          <w:kern w:val="1"/>
          <w:sz w:val="24"/>
          <w:highlight w:val="none"/>
          <w:lang w:val="en-US" w:eastAsia="zh-CN"/>
        </w:rPr>
        <w:t>。</w:t>
      </w:r>
    </w:p>
    <w:p w14:paraId="7518CD4E">
      <w:pPr>
        <w:pStyle w:val="7"/>
        <w:widowControl/>
        <w:numPr>
          <w:ilvl w:val="0"/>
          <w:numId w:val="2"/>
        </w:numPr>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lang w:val="en-US" w:eastAsia="zh-CN"/>
        </w:rPr>
        <w:t>承接本项目的份额占比：</w:t>
      </w:r>
      <w:r>
        <w:rPr>
          <w:rFonts w:hint="eastAsia" w:ascii="仿宋" w:hAnsi="仿宋" w:eastAsia="仿宋"/>
          <w:color w:val="000000"/>
          <w:kern w:val="1"/>
          <w:sz w:val="24"/>
          <w:highlight w:val="none"/>
          <w:u w:val="single"/>
          <w:lang w:val="en-US" w:eastAsia="zh-CN"/>
        </w:rPr>
        <w:t xml:space="preserve">    %</w:t>
      </w:r>
    </w:p>
    <w:p w14:paraId="3B58665C">
      <w:pPr>
        <w:pStyle w:val="7"/>
        <w:widowControl/>
        <w:numPr>
          <w:ilvl w:val="0"/>
          <w:numId w:val="0"/>
        </w:numPr>
        <w:autoSpaceDE w:val="0"/>
        <w:autoSpaceDN w:val="0"/>
        <w:adjustRightInd w:val="0"/>
        <w:spacing w:line="440" w:lineRule="exact"/>
        <w:rPr>
          <w:rFonts w:hint="eastAsia" w:ascii="仿宋" w:hAnsi="仿宋" w:eastAsia="仿宋"/>
          <w:b/>
          <w:bCs/>
          <w:color w:val="000000"/>
          <w:kern w:val="1"/>
          <w:sz w:val="24"/>
          <w:highlight w:val="none"/>
          <w:lang w:eastAsia="zh-CN"/>
        </w:rPr>
      </w:pPr>
      <w:r>
        <w:rPr>
          <w:rFonts w:hint="eastAsia" w:ascii="仿宋" w:hAnsi="仿宋" w:eastAsia="仿宋"/>
          <w:b/>
          <w:bCs/>
          <w:color w:val="000000"/>
          <w:kern w:val="1"/>
          <w:sz w:val="24"/>
          <w:highlight w:val="none"/>
          <w:lang w:val="en-US" w:eastAsia="zh-CN"/>
        </w:rPr>
        <w:t>注：</w:t>
      </w:r>
      <w:r>
        <w:rPr>
          <w:rFonts w:hint="eastAsia" w:ascii="仿宋" w:hAnsi="仿宋" w:eastAsia="仿宋"/>
          <w:b/>
          <w:bCs/>
          <w:color w:val="000000"/>
          <w:kern w:val="1"/>
          <w:sz w:val="24"/>
          <w:highlight w:val="none"/>
        </w:rPr>
        <w:t>中小微企业所承接本项目的份额应不低于招标公告中给中小微企业预留份额比例</w:t>
      </w:r>
      <w:r>
        <w:rPr>
          <w:rFonts w:hint="eastAsia" w:ascii="仿宋" w:hAnsi="仿宋" w:eastAsia="仿宋"/>
          <w:b/>
          <w:bCs/>
          <w:color w:val="000000"/>
          <w:kern w:val="1"/>
          <w:sz w:val="24"/>
          <w:highlight w:val="none"/>
          <w:lang w:eastAsia="zh-CN"/>
        </w:rPr>
        <w:t>。</w:t>
      </w:r>
    </w:p>
    <w:p w14:paraId="22BCDE3F">
      <w:pPr>
        <w:pStyle w:val="7"/>
        <w:widowControl/>
        <w:numPr>
          <w:ilvl w:val="0"/>
          <w:numId w:val="2"/>
        </w:numPr>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承担的工作和义务为：</w:t>
      </w:r>
    </w:p>
    <w:p w14:paraId="7BD6E653">
      <w:pPr>
        <w:pStyle w:val="7"/>
        <w:widowControl/>
        <w:autoSpaceDE w:val="0"/>
        <w:autoSpaceDN w:val="0"/>
        <w:adjustRightInd w:val="0"/>
        <w:spacing w:line="440" w:lineRule="exact"/>
        <w:rPr>
          <w:rFonts w:hint="default" w:ascii="仿宋" w:hAnsi="仿宋" w:eastAsia="仿宋"/>
          <w:color w:val="000000"/>
          <w:kern w:val="1"/>
          <w:sz w:val="24"/>
          <w:highlight w:val="none"/>
          <w:lang w:val="en-US" w:eastAsia="zh-CN"/>
        </w:rPr>
      </w:pPr>
      <w:r>
        <w:rPr>
          <w:rFonts w:hint="eastAsia" w:ascii="仿宋" w:hAnsi="仿宋" w:eastAsia="仿宋"/>
          <w:color w:val="000000"/>
          <w:kern w:val="1"/>
          <w:sz w:val="24"/>
          <w:highlight w:val="none"/>
        </w:rPr>
        <w:t>五、有关本次联合投标的其他事宜：</w:t>
      </w:r>
    </w:p>
    <w:p w14:paraId="4A1B50DF">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六、本协议提交采购人或者采购代理机构后，联合体各方不得以任何形式对上述实质内容进行修改或者撤销。</w:t>
      </w:r>
    </w:p>
    <w:p w14:paraId="5B710447">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七、本协议共</w:t>
      </w:r>
      <w:r>
        <w:rPr>
          <w:rFonts w:hint="eastAsia" w:ascii="仿宋" w:hAnsi="仿宋" w:eastAsia="仿宋"/>
          <w:color w:val="000000"/>
          <w:kern w:val="1"/>
          <w:sz w:val="24"/>
          <w:highlight w:val="none"/>
          <w:u w:val="single"/>
          <w:lang w:val="en-US" w:eastAsia="zh-CN"/>
        </w:rPr>
        <w:t xml:space="preserve">  </w:t>
      </w:r>
      <w:r>
        <w:rPr>
          <w:rFonts w:hint="eastAsia" w:ascii="仿宋" w:hAnsi="仿宋" w:eastAsia="仿宋"/>
          <w:color w:val="000000"/>
          <w:kern w:val="1"/>
          <w:sz w:val="24"/>
          <w:highlight w:val="none"/>
        </w:rPr>
        <w:t>份，联合体各方各持一份，并作为投标文件的一部分。</w:t>
      </w:r>
    </w:p>
    <w:p w14:paraId="07FAECE0">
      <w:pPr>
        <w:pStyle w:val="7"/>
        <w:widowControl/>
        <w:autoSpaceDE w:val="0"/>
        <w:autoSpaceDN w:val="0"/>
        <w:adjustRightInd w:val="0"/>
        <w:spacing w:line="440" w:lineRule="exact"/>
        <w:rPr>
          <w:rFonts w:ascii="仿宋" w:hAnsi="仿宋" w:eastAsia="仿宋"/>
          <w:color w:val="000000"/>
          <w:kern w:val="1"/>
          <w:sz w:val="24"/>
          <w:highlight w:val="none"/>
        </w:rPr>
      </w:pPr>
    </w:p>
    <w:p w14:paraId="7B75B6A9">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 xml:space="preserve">   甲方名称：       （公章）                   乙方名称：       （公章）</w:t>
      </w:r>
    </w:p>
    <w:p w14:paraId="0341E028">
      <w:pPr>
        <w:pStyle w:val="7"/>
        <w:widowControl/>
        <w:autoSpaceDE w:val="0"/>
        <w:autoSpaceDN w:val="0"/>
        <w:adjustRightInd w:val="0"/>
        <w:spacing w:line="440" w:lineRule="exact"/>
        <w:rPr>
          <w:rFonts w:ascii="仿宋" w:hAnsi="仿宋" w:eastAsia="仿宋"/>
          <w:color w:val="000000"/>
          <w:kern w:val="1"/>
          <w:sz w:val="24"/>
          <w:highlight w:val="none"/>
        </w:rPr>
      </w:pPr>
      <w:r>
        <w:rPr>
          <w:rFonts w:hint="eastAsia" w:ascii="仿宋" w:hAnsi="仿宋" w:eastAsia="仿宋"/>
          <w:color w:val="000000"/>
          <w:kern w:val="1"/>
          <w:sz w:val="24"/>
          <w:highlight w:val="none"/>
        </w:rPr>
        <w:t xml:space="preserve">    法定代表人：       （印章）             法定代表人：       （印章）</w:t>
      </w:r>
    </w:p>
    <w:p w14:paraId="3107AF56">
      <w:pPr>
        <w:pStyle w:val="7"/>
        <w:widowControl/>
        <w:autoSpaceDE w:val="0"/>
        <w:autoSpaceDN w:val="0"/>
        <w:adjustRightInd w:val="0"/>
        <w:spacing w:line="440" w:lineRule="exact"/>
        <w:rPr>
          <w:rFonts w:ascii="仿宋" w:hAnsi="仿宋" w:eastAsia="仿宋"/>
          <w:color w:val="000000"/>
          <w:kern w:val="1"/>
          <w:sz w:val="24"/>
          <w:highlight w:val="none"/>
        </w:rPr>
      </w:pPr>
    </w:p>
    <w:p w14:paraId="04EE069E">
      <w:pPr>
        <w:jc w:val="both"/>
        <w:rPr>
          <w:rFonts w:hint="default"/>
          <w:sz w:val="28"/>
          <w:szCs w:val="28"/>
          <w:highlight w:val="none"/>
          <w:lang w:val="en-US" w:eastAsia="zh-CN"/>
        </w:rPr>
      </w:pPr>
      <w:r>
        <w:rPr>
          <w:rFonts w:hint="eastAsia" w:ascii="仿宋" w:hAnsi="仿宋" w:eastAsia="仿宋"/>
          <w:color w:val="000000"/>
          <w:kern w:val="1"/>
          <w:sz w:val="24"/>
          <w:highlight w:val="none"/>
        </w:rPr>
        <w:t xml:space="preserve">      日期：</w:t>
      </w:r>
      <w:r>
        <w:rPr>
          <w:rFonts w:hint="eastAsia" w:ascii="仿宋" w:hAnsi="仿宋" w:eastAsia="仿宋"/>
          <w:color w:val="000000"/>
          <w:kern w:val="1"/>
          <w:sz w:val="24"/>
          <w:highlight w:val="none"/>
          <w:lang w:val="en-US" w:eastAsia="zh-CN"/>
        </w:rPr>
        <w:t xml:space="preserve">  </w:t>
      </w:r>
      <w:r>
        <w:rPr>
          <w:rFonts w:hint="eastAsia" w:ascii="仿宋" w:hAnsi="仿宋" w:eastAsia="仿宋"/>
          <w:color w:val="000000"/>
          <w:kern w:val="1"/>
          <w:sz w:val="24"/>
          <w:highlight w:val="none"/>
        </w:rPr>
        <w:t>年</w:t>
      </w:r>
      <w:r>
        <w:rPr>
          <w:rFonts w:hint="eastAsia" w:ascii="仿宋" w:hAnsi="仿宋" w:eastAsia="仿宋"/>
          <w:color w:val="000000"/>
          <w:kern w:val="1"/>
          <w:sz w:val="24"/>
          <w:highlight w:val="none"/>
          <w:lang w:val="en-US" w:eastAsia="zh-CN"/>
        </w:rPr>
        <w:t xml:space="preserve">  </w:t>
      </w:r>
      <w:r>
        <w:rPr>
          <w:rFonts w:hint="eastAsia" w:ascii="仿宋" w:hAnsi="仿宋" w:eastAsia="仿宋"/>
          <w:color w:val="000000"/>
          <w:kern w:val="1"/>
          <w:sz w:val="24"/>
          <w:highlight w:val="none"/>
        </w:rPr>
        <w:t>月</w:t>
      </w:r>
      <w:r>
        <w:rPr>
          <w:rFonts w:hint="eastAsia" w:ascii="仿宋" w:hAnsi="仿宋" w:eastAsia="仿宋"/>
          <w:color w:val="000000"/>
          <w:kern w:val="1"/>
          <w:sz w:val="24"/>
          <w:highlight w:val="none"/>
          <w:lang w:val="en-US" w:eastAsia="zh-CN"/>
        </w:rPr>
        <w:t xml:space="preserve"> </w:t>
      </w:r>
      <w:r>
        <w:rPr>
          <w:rFonts w:hint="eastAsia" w:ascii="仿宋" w:hAnsi="仿宋" w:eastAsia="仿宋"/>
          <w:color w:val="000000"/>
          <w:kern w:val="1"/>
          <w:sz w:val="24"/>
          <w:highlight w:val="none"/>
        </w:rPr>
        <w:t>日                            日期：</w:t>
      </w:r>
      <w:r>
        <w:rPr>
          <w:rFonts w:hint="eastAsia" w:ascii="仿宋" w:hAnsi="仿宋" w:eastAsia="仿宋"/>
          <w:color w:val="000000"/>
          <w:kern w:val="1"/>
          <w:sz w:val="24"/>
          <w:highlight w:val="none"/>
          <w:lang w:val="en-US" w:eastAsia="zh-CN"/>
        </w:rPr>
        <w:t xml:space="preserve">  </w:t>
      </w:r>
      <w:r>
        <w:rPr>
          <w:rFonts w:hint="eastAsia" w:ascii="仿宋" w:hAnsi="仿宋" w:eastAsia="仿宋"/>
          <w:color w:val="000000"/>
          <w:kern w:val="1"/>
          <w:sz w:val="24"/>
          <w:highlight w:val="none"/>
        </w:rPr>
        <w:t>年</w:t>
      </w:r>
      <w:r>
        <w:rPr>
          <w:rFonts w:hint="eastAsia" w:ascii="仿宋" w:hAnsi="仿宋" w:eastAsia="仿宋"/>
          <w:color w:val="000000"/>
          <w:kern w:val="1"/>
          <w:sz w:val="24"/>
          <w:highlight w:val="none"/>
          <w:lang w:val="en-US" w:eastAsia="zh-CN"/>
        </w:rPr>
        <w:t xml:space="preserve">  </w:t>
      </w:r>
      <w:r>
        <w:rPr>
          <w:rFonts w:hint="eastAsia" w:ascii="仿宋" w:hAnsi="仿宋" w:eastAsia="仿宋"/>
          <w:color w:val="000000"/>
          <w:kern w:val="1"/>
          <w:sz w:val="24"/>
          <w:highlight w:val="none"/>
        </w:rPr>
        <w:t>月</w:t>
      </w:r>
      <w:r>
        <w:rPr>
          <w:rFonts w:hint="eastAsia" w:ascii="仿宋" w:hAnsi="仿宋" w:eastAsia="仿宋"/>
          <w:color w:val="000000"/>
          <w:kern w:val="1"/>
          <w:sz w:val="24"/>
          <w:highlight w:val="none"/>
          <w:lang w:val="en-US" w:eastAsia="zh-CN"/>
        </w:rPr>
        <w:t xml:space="preserve">   </w:t>
      </w:r>
      <w:r>
        <w:rPr>
          <w:rFonts w:hint="eastAsia" w:ascii="仿宋" w:hAnsi="仿宋" w:eastAsia="仿宋"/>
          <w:color w:val="000000"/>
          <w:kern w:val="1"/>
          <w:sz w:val="24"/>
          <w:highlight w:val="none"/>
        </w:rPr>
        <w:t>日</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5421E">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ABA7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7ABA7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61F479">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4CD0D7"/>
    <w:multiLevelType w:val="singleLevel"/>
    <w:tmpl w:val="CF4CD0D7"/>
    <w:lvl w:ilvl="0" w:tentative="0">
      <w:start w:val="1"/>
      <w:numFmt w:val="decimal"/>
      <w:lvlText w:val="%1."/>
      <w:lvlJc w:val="left"/>
      <w:pPr>
        <w:tabs>
          <w:tab w:val="left" w:pos="312"/>
        </w:tabs>
      </w:pPr>
    </w:lvl>
  </w:abstractNum>
  <w:abstractNum w:abstractNumId="1">
    <w:nsid w:val="10710A92"/>
    <w:multiLevelType w:val="singleLevel"/>
    <w:tmpl w:val="10710A92"/>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D772A4"/>
    <w:rsid w:val="02373079"/>
    <w:rsid w:val="03045BBF"/>
    <w:rsid w:val="05EA707F"/>
    <w:rsid w:val="063A541A"/>
    <w:rsid w:val="06513864"/>
    <w:rsid w:val="06C523CF"/>
    <w:rsid w:val="11F94B51"/>
    <w:rsid w:val="1556771C"/>
    <w:rsid w:val="19EF2522"/>
    <w:rsid w:val="1BF3331D"/>
    <w:rsid w:val="1CC876B7"/>
    <w:rsid w:val="1E4E7E85"/>
    <w:rsid w:val="1F7D57EF"/>
    <w:rsid w:val="209249D8"/>
    <w:rsid w:val="21F80059"/>
    <w:rsid w:val="237E763B"/>
    <w:rsid w:val="238342CC"/>
    <w:rsid w:val="2AF74609"/>
    <w:rsid w:val="2DD772A4"/>
    <w:rsid w:val="31CC4018"/>
    <w:rsid w:val="349C76AE"/>
    <w:rsid w:val="3C1943EF"/>
    <w:rsid w:val="3CD707EB"/>
    <w:rsid w:val="3D6F7DAF"/>
    <w:rsid w:val="42A75FD9"/>
    <w:rsid w:val="48BF6C4F"/>
    <w:rsid w:val="4DD20112"/>
    <w:rsid w:val="54B373BE"/>
    <w:rsid w:val="55160E9E"/>
    <w:rsid w:val="57FA3AD1"/>
    <w:rsid w:val="58BA64CF"/>
    <w:rsid w:val="58D042AA"/>
    <w:rsid w:val="59B568CB"/>
    <w:rsid w:val="5A427D7C"/>
    <w:rsid w:val="5C3810C1"/>
    <w:rsid w:val="5F4E79DD"/>
    <w:rsid w:val="638E2760"/>
    <w:rsid w:val="64493865"/>
    <w:rsid w:val="661936FE"/>
    <w:rsid w:val="674B4506"/>
    <w:rsid w:val="69184805"/>
    <w:rsid w:val="6CE77CBA"/>
    <w:rsid w:val="6E8C36B7"/>
    <w:rsid w:val="6FFB7A81"/>
    <w:rsid w:val="72A86149"/>
    <w:rsid w:val="73BD0FFA"/>
    <w:rsid w:val="74713CDB"/>
    <w:rsid w:val="777A7420"/>
    <w:rsid w:val="77DF03B7"/>
    <w:rsid w:val="7BB0633E"/>
    <w:rsid w:val="7C9B3245"/>
    <w:rsid w:val="7DCE00F3"/>
    <w:rsid w:val="7E033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Strong"/>
    <w:basedOn w:val="5"/>
    <w:qFormat/>
    <w:uiPriority w:val="0"/>
    <w:rPr>
      <w:b/>
    </w:rPr>
  </w:style>
  <w:style w:type="paragraph" w:customStyle="1" w:styleId="7">
    <w:name w:val="Normal961cf6b7"/>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8">
    <w:name w:val="font31"/>
    <w:basedOn w:val="5"/>
    <w:qFormat/>
    <w:uiPriority w:val="0"/>
    <w:rPr>
      <w:rFonts w:hint="eastAsia" w:ascii="仿宋" w:hAnsi="仿宋" w:eastAsia="仿宋" w:cs="仿宋"/>
      <w:color w:val="000000"/>
      <w:sz w:val="24"/>
      <w:szCs w:val="24"/>
      <w:u w:val="none"/>
    </w:rPr>
  </w:style>
  <w:style w:type="character" w:customStyle="1" w:styleId="9">
    <w:name w:val="样式 仿宋"/>
    <w:qFormat/>
    <w:uiPriority w:val="0"/>
    <w:rPr>
      <w:rFonts w:ascii="仿宋" w:hAnsi="仿宋" w:eastAsia="仿宋"/>
      <w:kern w:val="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山东分公司</Company>
  <Pages>6</Pages>
  <Words>0</Words>
  <Characters>0</Characters>
  <Lines>0</Lines>
  <Paragraphs>0</Paragraphs>
  <TotalTime>6</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2026-10-20T02:02:00Z</dcterms:created>
  <dc:creator>qx</dc:creator>
  <cp:lastModifiedBy>Administrator</cp:lastModifiedBy>
  <dcterms:modified xsi:type="dcterms:W3CDTF">2026-10-20T09:05:30Z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CF1F3EF27F4F4FCA935DC0C1B8D131B9_13</vt:lpwstr>
  </property>
</Properties>
</file>